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E3E" w:rsidRDefault="00654E3E" w:rsidP="00693D0A">
      <w:pPr>
        <w:spacing w:line="240" w:lineRule="exact"/>
        <w:rPr>
          <w:rFonts w:ascii="微软雅黑" w:eastAsia="微软雅黑" w:hAnsi="微软雅黑" w:cs="仿宋_GB2312"/>
          <w:sz w:val="22"/>
          <w:szCs w:val="22"/>
        </w:rPr>
      </w:pPr>
    </w:p>
    <w:p w:rsidR="00441357" w:rsidRPr="00693D0A" w:rsidRDefault="00441357" w:rsidP="00693D0A">
      <w:pPr>
        <w:spacing w:line="240" w:lineRule="exact"/>
        <w:rPr>
          <w:rFonts w:ascii="微软雅黑" w:eastAsia="微软雅黑" w:hAnsi="微软雅黑" w:cs="仿宋_GB2312" w:hint="eastAsia"/>
          <w:sz w:val="22"/>
          <w:szCs w:val="22"/>
        </w:rPr>
      </w:pPr>
      <w:bookmarkStart w:id="0" w:name="_GoBack"/>
      <w:bookmarkEnd w:id="0"/>
    </w:p>
    <w:p w:rsidR="00654E3E" w:rsidRPr="00693D0A" w:rsidRDefault="006312BD" w:rsidP="00693D0A">
      <w:pPr>
        <w:spacing w:line="600" w:lineRule="exact"/>
        <w:jc w:val="center"/>
        <w:rPr>
          <w:rFonts w:ascii="微软雅黑" w:eastAsia="微软雅黑" w:hAnsi="微软雅黑" w:cs="宋体"/>
          <w:b/>
          <w:bCs/>
          <w:color w:val="7030A0"/>
          <w:sz w:val="40"/>
          <w:szCs w:val="40"/>
        </w:rPr>
      </w:pPr>
      <w:r w:rsidRPr="00693D0A">
        <w:rPr>
          <w:rFonts w:ascii="微软雅黑" w:eastAsia="微软雅黑" w:hAnsi="微软雅黑" w:cs="宋体" w:hint="eastAsia"/>
          <w:b/>
          <w:bCs/>
          <w:color w:val="7030A0"/>
          <w:sz w:val="40"/>
          <w:szCs w:val="40"/>
        </w:rPr>
        <w:t>最高人民法院</w:t>
      </w:r>
    </w:p>
    <w:p w:rsidR="00654E3E" w:rsidRPr="00693D0A" w:rsidRDefault="006312BD" w:rsidP="00693D0A">
      <w:pPr>
        <w:spacing w:line="600" w:lineRule="exact"/>
        <w:jc w:val="center"/>
        <w:rPr>
          <w:rFonts w:ascii="微软雅黑" w:eastAsia="微软雅黑" w:hAnsi="微软雅黑" w:cs="宋体"/>
          <w:b/>
          <w:bCs/>
          <w:color w:val="7030A0"/>
          <w:sz w:val="40"/>
          <w:szCs w:val="40"/>
        </w:rPr>
      </w:pPr>
      <w:r w:rsidRPr="00693D0A">
        <w:rPr>
          <w:rFonts w:ascii="微软雅黑" w:eastAsia="微软雅黑" w:hAnsi="微软雅黑" w:cs="宋体" w:hint="eastAsia"/>
          <w:b/>
          <w:bCs/>
          <w:color w:val="7030A0"/>
          <w:sz w:val="40"/>
          <w:szCs w:val="40"/>
        </w:rPr>
        <w:t>关于适用《中华人民共和国外商投资法》</w:t>
      </w:r>
    </w:p>
    <w:p w:rsidR="00654E3E" w:rsidRPr="00693D0A" w:rsidRDefault="006312BD" w:rsidP="00693D0A">
      <w:pPr>
        <w:spacing w:line="600" w:lineRule="exact"/>
        <w:jc w:val="center"/>
        <w:rPr>
          <w:rFonts w:ascii="微软雅黑" w:eastAsia="微软雅黑" w:hAnsi="微软雅黑" w:cs="宋体"/>
          <w:b/>
          <w:bCs/>
          <w:color w:val="7030A0"/>
          <w:sz w:val="40"/>
          <w:szCs w:val="40"/>
        </w:rPr>
      </w:pPr>
      <w:r w:rsidRPr="00693D0A">
        <w:rPr>
          <w:rFonts w:ascii="微软雅黑" w:eastAsia="微软雅黑" w:hAnsi="微软雅黑" w:cs="宋体" w:hint="eastAsia"/>
          <w:b/>
          <w:bCs/>
          <w:color w:val="7030A0"/>
          <w:sz w:val="40"/>
          <w:szCs w:val="40"/>
        </w:rPr>
        <w:t>若干问题的解释</w:t>
      </w:r>
    </w:p>
    <w:p w:rsidR="00654E3E" w:rsidRDefault="00654E3E" w:rsidP="00693D0A">
      <w:pPr>
        <w:spacing w:line="240" w:lineRule="exact"/>
        <w:ind w:firstLineChars="200" w:firstLine="440"/>
        <w:rPr>
          <w:rFonts w:ascii="微软雅黑" w:eastAsia="微软雅黑" w:hAnsi="微软雅黑" w:cs="仿宋_GB2312"/>
          <w:sz w:val="22"/>
          <w:szCs w:val="22"/>
        </w:rPr>
      </w:pPr>
    </w:p>
    <w:p w:rsidR="00693D0A" w:rsidRDefault="00693D0A" w:rsidP="00693D0A">
      <w:pPr>
        <w:spacing w:line="240" w:lineRule="exact"/>
        <w:jc w:val="center"/>
        <w:rPr>
          <w:rFonts w:ascii="微软雅黑" w:eastAsia="微软雅黑" w:hAnsi="微软雅黑" w:cs="仿宋_GB2312"/>
          <w:sz w:val="22"/>
          <w:szCs w:val="22"/>
        </w:rPr>
      </w:pPr>
      <w:r>
        <w:rPr>
          <w:rFonts w:ascii="微软雅黑" w:eastAsia="微软雅黑" w:hAnsi="微软雅黑" w:cs="仿宋_GB2312" w:hint="eastAsia"/>
          <w:sz w:val="22"/>
          <w:szCs w:val="22"/>
        </w:rPr>
        <w:t>2020-01-01</w:t>
      </w:r>
    </w:p>
    <w:p w:rsidR="00693D0A" w:rsidRPr="00693D0A" w:rsidRDefault="00693D0A" w:rsidP="00693D0A">
      <w:pPr>
        <w:spacing w:line="240" w:lineRule="exact"/>
        <w:ind w:firstLineChars="200" w:firstLine="440"/>
        <w:rPr>
          <w:rFonts w:ascii="微软雅黑" w:eastAsia="微软雅黑" w:hAnsi="微软雅黑" w:cs="仿宋_GB2312" w:hint="eastAsia"/>
          <w:sz w:val="22"/>
          <w:szCs w:val="22"/>
        </w:rPr>
      </w:pPr>
    </w:p>
    <w:p w:rsidR="00654E3E" w:rsidRPr="00693D0A" w:rsidRDefault="006312BD" w:rsidP="00693D0A">
      <w:pPr>
        <w:spacing w:line="240" w:lineRule="exact"/>
        <w:jc w:val="center"/>
        <w:rPr>
          <w:rFonts w:ascii="微软雅黑" w:eastAsia="微软雅黑" w:hAnsi="微软雅黑" w:cs="仿宋_GB2312"/>
          <w:sz w:val="22"/>
          <w:szCs w:val="22"/>
        </w:rPr>
      </w:pPr>
      <w:r w:rsidRPr="00693D0A">
        <w:rPr>
          <w:rFonts w:ascii="微软雅黑" w:eastAsia="微软雅黑" w:hAnsi="微软雅黑" w:cs="仿宋_GB2312" w:hint="eastAsia"/>
          <w:sz w:val="22"/>
          <w:szCs w:val="22"/>
        </w:rPr>
        <w:t>法释〔2019〕20号</w:t>
      </w:r>
    </w:p>
    <w:p w:rsidR="00654E3E" w:rsidRPr="00693D0A" w:rsidRDefault="00654E3E" w:rsidP="00693D0A">
      <w:pPr>
        <w:spacing w:line="240" w:lineRule="exact"/>
        <w:ind w:firstLineChars="200" w:firstLine="440"/>
        <w:rPr>
          <w:rFonts w:ascii="微软雅黑" w:eastAsia="微软雅黑" w:hAnsi="微软雅黑" w:cs="仿宋_GB2312"/>
          <w:sz w:val="22"/>
          <w:szCs w:val="22"/>
        </w:rPr>
      </w:pPr>
    </w:p>
    <w:p w:rsidR="00654E3E" w:rsidRPr="00693D0A" w:rsidRDefault="006312BD" w:rsidP="00693D0A">
      <w:pPr>
        <w:spacing w:line="240" w:lineRule="exact"/>
        <w:ind w:leftChars="200" w:left="420" w:rightChars="200" w:right="420"/>
        <w:jc w:val="center"/>
        <w:rPr>
          <w:rFonts w:ascii="微软雅黑" w:eastAsia="微软雅黑" w:hAnsi="微软雅黑" w:cs="仿宋_GB2312"/>
          <w:szCs w:val="21"/>
        </w:rPr>
      </w:pPr>
      <w:r w:rsidRPr="00693D0A">
        <w:rPr>
          <w:rFonts w:ascii="微软雅黑" w:eastAsia="微软雅黑" w:hAnsi="微软雅黑" w:cs="楷体_GB2312" w:hint="eastAsia"/>
          <w:szCs w:val="21"/>
        </w:rPr>
        <w:t>（2019年12月16日最高人民法院审判委员会第1787次会议通过，自2020年1月1日起施行）</w:t>
      </w:r>
    </w:p>
    <w:p w:rsidR="00654E3E" w:rsidRPr="00693D0A" w:rsidRDefault="00654E3E" w:rsidP="00693D0A">
      <w:pPr>
        <w:spacing w:line="400" w:lineRule="exact"/>
        <w:ind w:firstLineChars="200" w:firstLine="480"/>
        <w:rPr>
          <w:rFonts w:ascii="微软雅黑" w:eastAsia="微软雅黑" w:hAnsi="微软雅黑" w:cs="仿宋_GB2312"/>
          <w:sz w:val="24"/>
        </w:rPr>
      </w:pPr>
    </w:p>
    <w:p w:rsidR="00654E3E" w:rsidRPr="00693D0A" w:rsidRDefault="006312BD" w:rsidP="00693D0A">
      <w:pPr>
        <w:spacing w:line="400" w:lineRule="exact"/>
        <w:ind w:firstLineChars="200" w:firstLine="480"/>
        <w:rPr>
          <w:rFonts w:ascii="微软雅黑" w:eastAsia="微软雅黑" w:hAnsi="微软雅黑" w:cs="仿宋_GB2312"/>
          <w:sz w:val="24"/>
        </w:rPr>
      </w:pPr>
      <w:r w:rsidRPr="00693D0A">
        <w:rPr>
          <w:rFonts w:ascii="微软雅黑" w:eastAsia="微软雅黑" w:hAnsi="微软雅黑" w:cs="仿宋_GB2312" w:hint="eastAsia"/>
          <w:sz w:val="24"/>
        </w:rPr>
        <w:t>为正确适用《中华人民共和国外商投资法》，依法平等保护中外投资者合法权益，营造稳定、公平、透明的法治化营商环境，结合审判实践，就人民法院审理平等主体之间的投资合同纠纷案件适用法律问题</w:t>
      </w:r>
      <w:proofErr w:type="gramStart"/>
      <w:r w:rsidRPr="00693D0A">
        <w:rPr>
          <w:rFonts w:ascii="微软雅黑" w:eastAsia="微软雅黑" w:hAnsi="微软雅黑" w:cs="仿宋_GB2312" w:hint="eastAsia"/>
          <w:sz w:val="24"/>
        </w:rPr>
        <w:t>作出</w:t>
      </w:r>
      <w:proofErr w:type="gramEnd"/>
      <w:r w:rsidRPr="00693D0A">
        <w:rPr>
          <w:rFonts w:ascii="微软雅黑" w:eastAsia="微软雅黑" w:hAnsi="微软雅黑" w:cs="仿宋_GB2312" w:hint="eastAsia"/>
          <w:sz w:val="24"/>
        </w:rPr>
        <w:t>如下解释。</w:t>
      </w:r>
    </w:p>
    <w:p w:rsidR="00654E3E" w:rsidRPr="00693D0A" w:rsidRDefault="006312BD" w:rsidP="00693D0A">
      <w:pPr>
        <w:spacing w:line="400" w:lineRule="exact"/>
        <w:ind w:firstLineChars="200" w:firstLine="480"/>
        <w:rPr>
          <w:rFonts w:ascii="微软雅黑" w:eastAsia="微软雅黑" w:hAnsi="微软雅黑" w:cs="仿宋_GB2312"/>
          <w:sz w:val="24"/>
        </w:rPr>
      </w:pPr>
      <w:r w:rsidRPr="00693D0A">
        <w:rPr>
          <w:rFonts w:ascii="微软雅黑" w:eastAsia="微软雅黑" w:hAnsi="微软雅黑" w:cs="黑体" w:hint="eastAsia"/>
          <w:b/>
          <w:bCs/>
          <w:sz w:val="24"/>
        </w:rPr>
        <w:t>第一条</w:t>
      </w:r>
      <w:r w:rsidRPr="00693D0A">
        <w:rPr>
          <w:rFonts w:ascii="微软雅黑" w:eastAsia="微软雅黑" w:hAnsi="微软雅黑" w:cs="黑体" w:hint="eastAsia"/>
          <w:sz w:val="24"/>
        </w:rPr>
        <w:t xml:space="preserve">  </w:t>
      </w:r>
      <w:r w:rsidRPr="00693D0A">
        <w:rPr>
          <w:rFonts w:ascii="微软雅黑" w:eastAsia="微软雅黑" w:hAnsi="微软雅黑" w:cs="仿宋_GB2312" w:hint="eastAsia"/>
          <w:sz w:val="24"/>
        </w:rPr>
        <w:t>本解释所称投资合同，是指外国投资者即外国的自然人、企业或者其他组织因直接或者间接在中国境内进行投资而形成的相关协议，包括设立外商投资企业合同、股份转让合同、股权转让合同、财产份额或者其他类似权益转让合同、新建项目合同等协议。</w:t>
      </w:r>
    </w:p>
    <w:p w:rsidR="00654E3E" w:rsidRPr="00693D0A" w:rsidRDefault="006312BD" w:rsidP="00693D0A">
      <w:pPr>
        <w:spacing w:line="400" w:lineRule="exact"/>
        <w:ind w:firstLineChars="200" w:firstLine="480"/>
        <w:rPr>
          <w:rFonts w:ascii="微软雅黑" w:eastAsia="微软雅黑" w:hAnsi="微软雅黑" w:cs="仿宋_GB2312"/>
          <w:sz w:val="24"/>
        </w:rPr>
      </w:pPr>
      <w:r w:rsidRPr="00693D0A">
        <w:rPr>
          <w:rFonts w:ascii="微软雅黑" w:eastAsia="微软雅黑" w:hAnsi="微软雅黑" w:cs="仿宋_GB2312" w:hint="eastAsia"/>
          <w:sz w:val="24"/>
        </w:rPr>
        <w:t>外国投资者因赠与、财产分割、企业合并、企业分立等方式取得相应权益所产生的合同纠纷，适用本解释。</w:t>
      </w:r>
    </w:p>
    <w:p w:rsidR="00654E3E" w:rsidRPr="00693D0A" w:rsidRDefault="006312BD" w:rsidP="00693D0A">
      <w:pPr>
        <w:spacing w:line="400" w:lineRule="exact"/>
        <w:ind w:firstLineChars="200" w:firstLine="480"/>
        <w:rPr>
          <w:rFonts w:ascii="微软雅黑" w:eastAsia="微软雅黑" w:hAnsi="微软雅黑" w:cs="仿宋_GB2312"/>
          <w:sz w:val="24"/>
        </w:rPr>
      </w:pPr>
      <w:r w:rsidRPr="00693D0A">
        <w:rPr>
          <w:rFonts w:ascii="微软雅黑" w:eastAsia="微软雅黑" w:hAnsi="微软雅黑" w:cs="黑体" w:hint="eastAsia"/>
          <w:b/>
          <w:bCs/>
          <w:sz w:val="24"/>
        </w:rPr>
        <w:t>第二条</w:t>
      </w:r>
      <w:r w:rsidRPr="00693D0A">
        <w:rPr>
          <w:rFonts w:ascii="微软雅黑" w:eastAsia="微软雅黑" w:hAnsi="微软雅黑" w:cs="黑体" w:hint="eastAsia"/>
          <w:sz w:val="24"/>
        </w:rPr>
        <w:t xml:space="preserve">  </w:t>
      </w:r>
      <w:r w:rsidRPr="00693D0A">
        <w:rPr>
          <w:rFonts w:ascii="微软雅黑" w:eastAsia="微软雅黑" w:hAnsi="微软雅黑" w:cs="仿宋_GB2312" w:hint="eastAsia"/>
          <w:sz w:val="24"/>
        </w:rPr>
        <w:t>对外商投资法第四条所指的外商投资准入负面清单之外的领域形成的投资合同，当事人以合同未经有关行政主管部门批准、登记为由主张合同无效或者未生效的，人民法院不予支持。</w:t>
      </w:r>
    </w:p>
    <w:p w:rsidR="00654E3E" w:rsidRPr="00693D0A" w:rsidRDefault="006312BD" w:rsidP="00693D0A">
      <w:pPr>
        <w:spacing w:line="400" w:lineRule="exact"/>
        <w:ind w:firstLineChars="200" w:firstLine="480"/>
        <w:rPr>
          <w:rFonts w:ascii="微软雅黑" w:eastAsia="微软雅黑" w:hAnsi="微软雅黑" w:cs="仿宋_GB2312"/>
          <w:sz w:val="24"/>
        </w:rPr>
      </w:pPr>
      <w:r w:rsidRPr="00693D0A">
        <w:rPr>
          <w:rFonts w:ascii="微软雅黑" w:eastAsia="微软雅黑" w:hAnsi="微软雅黑" w:cs="仿宋_GB2312" w:hint="eastAsia"/>
          <w:sz w:val="24"/>
        </w:rPr>
        <w:t>前款规定的投资合同签订于外商投资法施行前，但人民法院在外商投资法施行时尚未</w:t>
      </w:r>
      <w:proofErr w:type="gramStart"/>
      <w:r w:rsidRPr="00693D0A">
        <w:rPr>
          <w:rFonts w:ascii="微软雅黑" w:eastAsia="微软雅黑" w:hAnsi="微软雅黑" w:cs="仿宋_GB2312" w:hint="eastAsia"/>
          <w:sz w:val="24"/>
        </w:rPr>
        <w:t>作出</w:t>
      </w:r>
      <w:proofErr w:type="gramEnd"/>
      <w:r w:rsidRPr="00693D0A">
        <w:rPr>
          <w:rFonts w:ascii="微软雅黑" w:eastAsia="微软雅黑" w:hAnsi="微软雅黑" w:cs="仿宋_GB2312" w:hint="eastAsia"/>
          <w:sz w:val="24"/>
        </w:rPr>
        <w:t>生效裁判的，适用前款规定认定合同的效力。</w:t>
      </w:r>
    </w:p>
    <w:p w:rsidR="00654E3E" w:rsidRPr="00693D0A" w:rsidRDefault="006312BD" w:rsidP="00693D0A">
      <w:pPr>
        <w:spacing w:line="400" w:lineRule="exact"/>
        <w:ind w:firstLineChars="200" w:firstLine="480"/>
        <w:rPr>
          <w:rFonts w:ascii="微软雅黑" w:eastAsia="微软雅黑" w:hAnsi="微软雅黑" w:cs="仿宋_GB2312"/>
          <w:sz w:val="24"/>
        </w:rPr>
      </w:pPr>
      <w:r w:rsidRPr="00693D0A">
        <w:rPr>
          <w:rFonts w:ascii="微软雅黑" w:eastAsia="微软雅黑" w:hAnsi="微软雅黑" w:cs="黑体" w:hint="eastAsia"/>
          <w:b/>
          <w:bCs/>
          <w:sz w:val="24"/>
        </w:rPr>
        <w:t>第三条</w:t>
      </w:r>
      <w:r w:rsidRPr="00693D0A">
        <w:rPr>
          <w:rFonts w:ascii="微软雅黑" w:eastAsia="微软雅黑" w:hAnsi="微软雅黑" w:cs="黑体" w:hint="eastAsia"/>
          <w:sz w:val="24"/>
        </w:rPr>
        <w:t xml:space="preserve">  </w:t>
      </w:r>
      <w:r w:rsidRPr="00693D0A">
        <w:rPr>
          <w:rFonts w:ascii="微软雅黑" w:eastAsia="微软雅黑" w:hAnsi="微软雅黑" w:cs="仿宋_GB2312" w:hint="eastAsia"/>
          <w:sz w:val="24"/>
        </w:rPr>
        <w:t>外国投资者投资外商投资准入负面清单规定禁止投资的领域，当事人主张投资合同无效的，人民法院应</w:t>
      </w:r>
      <w:proofErr w:type="gramStart"/>
      <w:r w:rsidRPr="00693D0A">
        <w:rPr>
          <w:rFonts w:ascii="微软雅黑" w:eastAsia="微软雅黑" w:hAnsi="微软雅黑" w:cs="仿宋_GB2312" w:hint="eastAsia"/>
          <w:sz w:val="24"/>
        </w:rPr>
        <w:t>予支</w:t>
      </w:r>
      <w:proofErr w:type="gramEnd"/>
      <w:r w:rsidRPr="00693D0A">
        <w:rPr>
          <w:rFonts w:ascii="微软雅黑" w:eastAsia="微软雅黑" w:hAnsi="微软雅黑" w:cs="仿宋_GB2312" w:hint="eastAsia"/>
          <w:sz w:val="24"/>
        </w:rPr>
        <w:t>持。</w:t>
      </w:r>
    </w:p>
    <w:p w:rsidR="00654E3E" w:rsidRPr="00693D0A" w:rsidRDefault="006312BD" w:rsidP="00693D0A">
      <w:pPr>
        <w:spacing w:line="400" w:lineRule="exact"/>
        <w:ind w:firstLineChars="200" w:firstLine="480"/>
        <w:rPr>
          <w:rFonts w:ascii="微软雅黑" w:eastAsia="微软雅黑" w:hAnsi="微软雅黑" w:cs="仿宋_GB2312"/>
          <w:sz w:val="24"/>
        </w:rPr>
      </w:pPr>
      <w:r w:rsidRPr="00693D0A">
        <w:rPr>
          <w:rFonts w:ascii="微软雅黑" w:eastAsia="微软雅黑" w:hAnsi="微软雅黑" w:cs="黑体" w:hint="eastAsia"/>
          <w:b/>
          <w:bCs/>
          <w:sz w:val="24"/>
        </w:rPr>
        <w:t>第四条</w:t>
      </w:r>
      <w:r w:rsidRPr="00693D0A">
        <w:rPr>
          <w:rFonts w:ascii="微软雅黑" w:eastAsia="微软雅黑" w:hAnsi="微软雅黑" w:cs="黑体" w:hint="eastAsia"/>
          <w:sz w:val="24"/>
        </w:rPr>
        <w:t xml:space="preserve">  </w:t>
      </w:r>
      <w:r w:rsidRPr="00693D0A">
        <w:rPr>
          <w:rFonts w:ascii="微软雅黑" w:eastAsia="微软雅黑" w:hAnsi="微软雅黑" w:cs="仿宋_GB2312" w:hint="eastAsia"/>
          <w:sz w:val="24"/>
        </w:rPr>
        <w:t>外国投资者投资外商投资准入负面清单规定限制投资的领域，当事人以违反限制性准入特别管理措施为由，主张投资合同无效的，人民法院应</w:t>
      </w:r>
      <w:proofErr w:type="gramStart"/>
      <w:r w:rsidRPr="00693D0A">
        <w:rPr>
          <w:rFonts w:ascii="微软雅黑" w:eastAsia="微软雅黑" w:hAnsi="微软雅黑" w:cs="仿宋_GB2312" w:hint="eastAsia"/>
          <w:sz w:val="24"/>
        </w:rPr>
        <w:t>予支</w:t>
      </w:r>
      <w:proofErr w:type="gramEnd"/>
      <w:r w:rsidRPr="00693D0A">
        <w:rPr>
          <w:rFonts w:ascii="微软雅黑" w:eastAsia="微软雅黑" w:hAnsi="微软雅黑" w:cs="仿宋_GB2312" w:hint="eastAsia"/>
          <w:sz w:val="24"/>
        </w:rPr>
        <w:t>持。</w:t>
      </w:r>
    </w:p>
    <w:p w:rsidR="00654E3E" w:rsidRPr="00693D0A" w:rsidRDefault="006312BD" w:rsidP="00693D0A">
      <w:pPr>
        <w:spacing w:line="400" w:lineRule="exact"/>
        <w:ind w:firstLineChars="200" w:firstLine="480"/>
        <w:rPr>
          <w:rFonts w:ascii="微软雅黑" w:eastAsia="微软雅黑" w:hAnsi="微软雅黑" w:cs="仿宋_GB2312"/>
          <w:sz w:val="24"/>
        </w:rPr>
      </w:pPr>
      <w:r w:rsidRPr="00693D0A">
        <w:rPr>
          <w:rFonts w:ascii="微软雅黑" w:eastAsia="微软雅黑" w:hAnsi="微软雅黑" w:cs="仿宋_GB2312" w:hint="eastAsia"/>
          <w:sz w:val="24"/>
        </w:rPr>
        <w:t>人民法院</w:t>
      </w:r>
      <w:proofErr w:type="gramStart"/>
      <w:r w:rsidRPr="00693D0A">
        <w:rPr>
          <w:rFonts w:ascii="微软雅黑" w:eastAsia="微软雅黑" w:hAnsi="微软雅黑" w:cs="仿宋_GB2312" w:hint="eastAsia"/>
          <w:sz w:val="24"/>
        </w:rPr>
        <w:t>作出</w:t>
      </w:r>
      <w:proofErr w:type="gramEnd"/>
      <w:r w:rsidRPr="00693D0A">
        <w:rPr>
          <w:rFonts w:ascii="微软雅黑" w:eastAsia="微软雅黑" w:hAnsi="微软雅黑" w:cs="仿宋_GB2312" w:hint="eastAsia"/>
          <w:sz w:val="24"/>
        </w:rPr>
        <w:t>生效裁判前，当事人采取必要措施满足准入特别管理措施的要求，当事人主张前款规定的投资合同有效的，应</w:t>
      </w:r>
      <w:proofErr w:type="gramStart"/>
      <w:r w:rsidRPr="00693D0A">
        <w:rPr>
          <w:rFonts w:ascii="微软雅黑" w:eastAsia="微软雅黑" w:hAnsi="微软雅黑" w:cs="仿宋_GB2312" w:hint="eastAsia"/>
          <w:sz w:val="24"/>
        </w:rPr>
        <w:t>予支</w:t>
      </w:r>
      <w:proofErr w:type="gramEnd"/>
      <w:r w:rsidRPr="00693D0A">
        <w:rPr>
          <w:rFonts w:ascii="微软雅黑" w:eastAsia="微软雅黑" w:hAnsi="微软雅黑" w:cs="仿宋_GB2312" w:hint="eastAsia"/>
          <w:sz w:val="24"/>
        </w:rPr>
        <w:t>持。</w:t>
      </w:r>
    </w:p>
    <w:p w:rsidR="00654E3E" w:rsidRPr="00693D0A" w:rsidRDefault="006312BD" w:rsidP="00693D0A">
      <w:pPr>
        <w:spacing w:line="400" w:lineRule="exact"/>
        <w:ind w:firstLineChars="200" w:firstLine="480"/>
        <w:rPr>
          <w:rFonts w:ascii="微软雅黑" w:eastAsia="微软雅黑" w:hAnsi="微软雅黑" w:cs="仿宋_GB2312"/>
          <w:sz w:val="24"/>
        </w:rPr>
      </w:pPr>
      <w:r w:rsidRPr="00693D0A">
        <w:rPr>
          <w:rFonts w:ascii="微软雅黑" w:eastAsia="微软雅黑" w:hAnsi="微软雅黑" w:cs="黑体" w:hint="eastAsia"/>
          <w:b/>
          <w:bCs/>
          <w:sz w:val="24"/>
        </w:rPr>
        <w:t>第五条</w:t>
      </w:r>
      <w:r w:rsidRPr="00693D0A">
        <w:rPr>
          <w:rFonts w:ascii="微软雅黑" w:eastAsia="微软雅黑" w:hAnsi="微软雅黑" w:cs="黑体" w:hint="eastAsia"/>
          <w:sz w:val="24"/>
        </w:rPr>
        <w:t xml:space="preserve">  </w:t>
      </w:r>
      <w:r w:rsidRPr="00693D0A">
        <w:rPr>
          <w:rFonts w:ascii="微软雅黑" w:eastAsia="微软雅黑" w:hAnsi="微软雅黑" w:cs="仿宋_GB2312" w:hint="eastAsia"/>
          <w:sz w:val="24"/>
        </w:rPr>
        <w:t>在生效裁判</w:t>
      </w:r>
      <w:proofErr w:type="gramStart"/>
      <w:r w:rsidRPr="00693D0A">
        <w:rPr>
          <w:rFonts w:ascii="微软雅黑" w:eastAsia="微软雅黑" w:hAnsi="微软雅黑" w:cs="仿宋_GB2312" w:hint="eastAsia"/>
          <w:sz w:val="24"/>
        </w:rPr>
        <w:t>作出</w:t>
      </w:r>
      <w:proofErr w:type="gramEnd"/>
      <w:r w:rsidRPr="00693D0A">
        <w:rPr>
          <w:rFonts w:ascii="微软雅黑" w:eastAsia="微软雅黑" w:hAnsi="微软雅黑" w:cs="仿宋_GB2312" w:hint="eastAsia"/>
          <w:sz w:val="24"/>
        </w:rPr>
        <w:t>前，因外商投资准入负面清单调整，外国投资者投资不再属于禁止或者限制投资的领域，当事人主张投资合同有效的，人民法院应</w:t>
      </w:r>
      <w:proofErr w:type="gramStart"/>
      <w:r w:rsidRPr="00693D0A">
        <w:rPr>
          <w:rFonts w:ascii="微软雅黑" w:eastAsia="微软雅黑" w:hAnsi="微软雅黑" w:cs="仿宋_GB2312" w:hint="eastAsia"/>
          <w:sz w:val="24"/>
        </w:rPr>
        <w:t>予支</w:t>
      </w:r>
      <w:proofErr w:type="gramEnd"/>
      <w:r w:rsidRPr="00693D0A">
        <w:rPr>
          <w:rFonts w:ascii="微软雅黑" w:eastAsia="微软雅黑" w:hAnsi="微软雅黑" w:cs="仿宋_GB2312" w:hint="eastAsia"/>
          <w:sz w:val="24"/>
        </w:rPr>
        <w:t>持。</w:t>
      </w:r>
    </w:p>
    <w:p w:rsidR="00654E3E" w:rsidRPr="00693D0A" w:rsidRDefault="006312BD" w:rsidP="00693D0A">
      <w:pPr>
        <w:spacing w:line="400" w:lineRule="exact"/>
        <w:ind w:firstLineChars="200" w:firstLine="480"/>
        <w:rPr>
          <w:rFonts w:ascii="微软雅黑" w:eastAsia="微软雅黑" w:hAnsi="微软雅黑" w:cs="仿宋_GB2312"/>
          <w:sz w:val="24"/>
        </w:rPr>
      </w:pPr>
      <w:r w:rsidRPr="00693D0A">
        <w:rPr>
          <w:rFonts w:ascii="微软雅黑" w:eastAsia="微软雅黑" w:hAnsi="微软雅黑" w:cs="黑体" w:hint="eastAsia"/>
          <w:b/>
          <w:bCs/>
          <w:sz w:val="24"/>
        </w:rPr>
        <w:t>第六条</w:t>
      </w:r>
      <w:r w:rsidRPr="00693D0A">
        <w:rPr>
          <w:rFonts w:ascii="微软雅黑" w:eastAsia="微软雅黑" w:hAnsi="微软雅黑" w:cs="黑体" w:hint="eastAsia"/>
          <w:sz w:val="24"/>
        </w:rPr>
        <w:t xml:space="preserve">  </w:t>
      </w:r>
      <w:r w:rsidRPr="00693D0A">
        <w:rPr>
          <w:rFonts w:ascii="微软雅黑" w:eastAsia="微软雅黑" w:hAnsi="微软雅黑" w:cs="仿宋_GB2312" w:hint="eastAsia"/>
          <w:sz w:val="24"/>
        </w:rPr>
        <w:t>人民法院审理香港特别行政区、澳门特别行政区投资者、定居在国外的中国公民在内地、台湾地区投资者在大陆投资产生的相关纠纷案件，可以参照适用本解释。</w:t>
      </w:r>
    </w:p>
    <w:p w:rsidR="00654E3E" w:rsidRPr="00693D0A" w:rsidRDefault="006312BD" w:rsidP="00693D0A">
      <w:pPr>
        <w:spacing w:line="400" w:lineRule="exact"/>
        <w:ind w:firstLineChars="200" w:firstLine="480"/>
        <w:rPr>
          <w:rFonts w:ascii="微软雅黑" w:eastAsia="微软雅黑" w:hAnsi="微软雅黑" w:cs="仿宋_GB2312"/>
          <w:sz w:val="24"/>
        </w:rPr>
      </w:pPr>
      <w:r w:rsidRPr="00693D0A">
        <w:rPr>
          <w:rFonts w:ascii="微软雅黑" w:eastAsia="微软雅黑" w:hAnsi="微软雅黑" w:cs="黑体" w:hint="eastAsia"/>
          <w:b/>
          <w:bCs/>
          <w:sz w:val="24"/>
        </w:rPr>
        <w:t>第七条</w:t>
      </w:r>
      <w:r w:rsidRPr="00693D0A">
        <w:rPr>
          <w:rFonts w:ascii="微软雅黑" w:eastAsia="微软雅黑" w:hAnsi="微软雅黑" w:cs="黑体" w:hint="eastAsia"/>
          <w:sz w:val="24"/>
        </w:rPr>
        <w:t xml:space="preserve">  </w:t>
      </w:r>
      <w:r w:rsidRPr="00693D0A">
        <w:rPr>
          <w:rFonts w:ascii="微软雅黑" w:eastAsia="微软雅黑" w:hAnsi="微软雅黑" w:cs="仿宋_GB2312" w:hint="eastAsia"/>
          <w:sz w:val="24"/>
        </w:rPr>
        <w:t>本</w:t>
      </w:r>
      <w:proofErr w:type="gramStart"/>
      <w:r w:rsidRPr="00693D0A">
        <w:rPr>
          <w:rFonts w:ascii="微软雅黑" w:eastAsia="微软雅黑" w:hAnsi="微软雅黑" w:cs="仿宋_GB2312" w:hint="eastAsia"/>
          <w:sz w:val="24"/>
        </w:rPr>
        <w:t>解释自</w:t>
      </w:r>
      <w:proofErr w:type="gramEnd"/>
      <w:r w:rsidRPr="00693D0A">
        <w:rPr>
          <w:rFonts w:ascii="微软雅黑" w:eastAsia="微软雅黑" w:hAnsi="微软雅黑" w:cs="仿宋_GB2312" w:hint="eastAsia"/>
          <w:sz w:val="24"/>
        </w:rPr>
        <w:t>2020年1月1日起施行。</w:t>
      </w:r>
    </w:p>
    <w:p w:rsidR="00654E3E" w:rsidRPr="00693D0A" w:rsidRDefault="006312BD" w:rsidP="00693D0A">
      <w:pPr>
        <w:spacing w:line="400" w:lineRule="exact"/>
        <w:rPr>
          <w:rFonts w:ascii="微软雅黑" w:eastAsia="微软雅黑" w:hAnsi="微软雅黑"/>
          <w:sz w:val="24"/>
        </w:rPr>
      </w:pPr>
      <w:r w:rsidRPr="00693D0A">
        <w:rPr>
          <w:rFonts w:ascii="微软雅黑" w:eastAsia="微软雅黑" w:hAnsi="微软雅黑" w:cs="仿宋_GB2312" w:hint="eastAsia"/>
          <w:sz w:val="24"/>
        </w:rPr>
        <w:t>本解释施行前本院</w:t>
      </w:r>
      <w:proofErr w:type="gramStart"/>
      <w:r w:rsidRPr="00693D0A">
        <w:rPr>
          <w:rFonts w:ascii="微软雅黑" w:eastAsia="微软雅黑" w:hAnsi="微软雅黑" w:cs="仿宋_GB2312" w:hint="eastAsia"/>
          <w:sz w:val="24"/>
        </w:rPr>
        <w:t>作出</w:t>
      </w:r>
      <w:proofErr w:type="gramEnd"/>
      <w:r w:rsidRPr="00693D0A">
        <w:rPr>
          <w:rFonts w:ascii="微软雅黑" w:eastAsia="微软雅黑" w:hAnsi="微软雅黑" w:cs="仿宋_GB2312" w:hint="eastAsia"/>
          <w:sz w:val="24"/>
        </w:rPr>
        <w:t>的有关司法解释与本解释不一致的，以本解释为准。</w:t>
      </w:r>
    </w:p>
    <w:p w:rsidR="00654E3E" w:rsidRPr="00693D0A" w:rsidRDefault="00654E3E" w:rsidP="00693D0A">
      <w:pPr>
        <w:spacing w:line="400" w:lineRule="exact"/>
        <w:rPr>
          <w:rFonts w:ascii="微软雅黑" w:eastAsia="微软雅黑" w:hAnsi="微软雅黑"/>
          <w:sz w:val="24"/>
        </w:rPr>
      </w:pPr>
    </w:p>
    <w:sectPr w:rsidR="00654E3E" w:rsidRPr="00693D0A" w:rsidSect="00693D0A">
      <w:footerReference w:type="even" r:id="rId7"/>
      <w:footerReference w:type="default" r:id="rId8"/>
      <w:pgSz w:w="11906" w:h="16838"/>
      <w:pgMar w:top="720" w:right="720" w:bottom="720" w:left="720" w:header="851" w:footer="992"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0F2" w:rsidRDefault="003140F2">
      <w:r>
        <w:separator/>
      </w:r>
    </w:p>
  </w:endnote>
  <w:endnote w:type="continuationSeparator" w:id="0">
    <w:p w:rsidR="003140F2" w:rsidRDefault="0031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E3E" w:rsidRDefault="006312BD">
    <w:pPr>
      <w:pStyle w:val="a3"/>
    </w:pPr>
    <w:r>
      <w:rPr>
        <w:noProof/>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4E3E" w:rsidRDefault="006312BD">
                          <w:pPr>
                            <w:pStyle w:val="a3"/>
                          </w:pPr>
                          <w:r>
                            <w:rPr>
                              <w:rFonts w:hint="eastAsia"/>
                            </w:rPr>
                            <w:fldChar w:fldCharType="begin"/>
                          </w:r>
                          <w:r>
                            <w:rPr>
                              <w:rFonts w:hint="eastAsia"/>
                            </w:rPr>
                            <w:instrText xml:space="preserve"> PAGE  \* MERGEFORMAT </w:instrText>
                          </w:r>
                          <w:r>
                            <w:rPr>
                              <w:rFonts w:hint="eastAsia"/>
                            </w:rPr>
                            <w:fldChar w:fldCharType="separate"/>
                          </w:r>
                          <w:r w:rsidR="002B66EB">
                            <w:rPr>
                              <w:noProof/>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654E3E" w:rsidRDefault="006312BD">
                    <w:pPr>
                      <w:pStyle w:val="a3"/>
                    </w:pPr>
                    <w:r>
                      <w:rPr>
                        <w:rFonts w:hint="eastAsia"/>
                      </w:rPr>
                      <w:fldChar w:fldCharType="begin"/>
                    </w:r>
                    <w:r>
                      <w:rPr>
                        <w:rFonts w:hint="eastAsia"/>
                      </w:rPr>
                      <w:instrText xml:space="preserve"> PAGE  \* MERGEFORMAT </w:instrText>
                    </w:r>
                    <w:r>
                      <w:rPr>
                        <w:rFonts w:hint="eastAsia"/>
                      </w:rPr>
                      <w:fldChar w:fldCharType="separate"/>
                    </w:r>
                    <w:r w:rsidR="002B66EB">
                      <w:rPr>
                        <w:noProof/>
                      </w:rPr>
                      <w:t>- 2 -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E3E" w:rsidRDefault="006312BD">
    <w:pPr>
      <w:pStyle w:val="a3"/>
    </w:pPr>
    <w:r>
      <w:rPr>
        <w:noProof/>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4E3E" w:rsidRDefault="006312BD">
                          <w:pPr>
                            <w:pStyle w:val="a3"/>
                          </w:pPr>
                          <w:r>
                            <w:rPr>
                              <w:rFonts w:hint="eastAsia"/>
                            </w:rPr>
                            <w:fldChar w:fldCharType="begin"/>
                          </w:r>
                          <w:r>
                            <w:rPr>
                              <w:rFonts w:hint="eastAsia"/>
                            </w:rPr>
                            <w:instrText xml:space="preserve"> PAGE  \* MERGEFORMAT </w:instrText>
                          </w:r>
                          <w:r>
                            <w:rPr>
                              <w:rFonts w:hint="eastAsia"/>
                            </w:rPr>
                            <w:fldChar w:fldCharType="separate"/>
                          </w:r>
                          <w:r w:rsidR="002B66EB">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654E3E" w:rsidRDefault="006312BD">
                    <w:pPr>
                      <w:pStyle w:val="a3"/>
                    </w:pPr>
                    <w:r>
                      <w:rPr>
                        <w:rFonts w:hint="eastAsia"/>
                      </w:rPr>
                      <w:fldChar w:fldCharType="begin"/>
                    </w:r>
                    <w:r>
                      <w:rPr>
                        <w:rFonts w:hint="eastAsia"/>
                      </w:rPr>
                      <w:instrText xml:space="preserve"> PAGE  \* MERGEFORMAT </w:instrText>
                    </w:r>
                    <w:r>
                      <w:rPr>
                        <w:rFonts w:hint="eastAsia"/>
                      </w:rPr>
                      <w:fldChar w:fldCharType="separate"/>
                    </w:r>
                    <w:r w:rsidR="002B66EB">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0F2" w:rsidRDefault="003140F2">
      <w:r>
        <w:separator/>
      </w:r>
    </w:p>
  </w:footnote>
  <w:footnote w:type="continuationSeparator" w:id="0">
    <w:p w:rsidR="003140F2" w:rsidRDefault="00314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B85E28"/>
    <w:rsid w:val="002B66EB"/>
    <w:rsid w:val="003140F2"/>
    <w:rsid w:val="00441357"/>
    <w:rsid w:val="006312BD"/>
    <w:rsid w:val="00654E3E"/>
    <w:rsid w:val="00693D0A"/>
    <w:rsid w:val="0CA66799"/>
    <w:rsid w:val="1E8D6747"/>
    <w:rsid w:val="2D853024"/>
    <w:rsid w:val="4CB85E28"/>
    <w:rsid w:val="69FD13C6"/>
    <w:rsid w:val="7E2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18A8B"/>
  <w15:docId w15:val="{5E5D2349-A443-4C18-81CC-81A644E2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宋体" w:hAnsi="宋体"/>
      <w:sz w:val="2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2021-02-24T02:04:00Z</dcterms:created>
  <dcterms:modified xsi:type="dcterms:W3CDTF">2025-09-18T11:09:00Z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